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3EE08" w14:textId="117F77AD" w:rsidR="00195203" w:rsidRPr="00E85A58" w:rsidRDefault="00195203" w:rsidP="00E85A58">
      <w:pPr>
        <w:pStyle w:val="Titolo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85A58">
        <w:rPr>
          <w:rStyle w:val="Enfasigrassetto"/>
          <w:rFonts w:ascii="Times New Roman" w:hAnsi="Times New Roman" w:cs="Times New Roman"/>
          <w:b/>
          <w:bCs/>
          <w:color w:val="auto"/>
          <w:sz w:val="24"/>
          <w:szCs w:val="24"/>
        </w:rPr>
        <w:t>CONVENZIONE</w:t>
      </w:r>
    </w:p>
    <w:p w14:paraId="13C0E311" w14:textId="77777777" w:rsidR="00E85A58" w:rsidRDefault="00E85A58" w:rsidP="00E85A58">
      <w:pPr>
        <w:pStyle w:val="NormaleWeb"/>
        <w:jc w:val="center"/>
        <w:rPr>
          <w:rStyle w:val="Enfasigrassetto"/>
        </w:rPr>
      </w:pPr>
      <w:r>
        <w:rPr>
          <w:rStyle w:val="Enfasigrassetto"/>
        </w:rPr>
        <w:t>TRA</w:t>
      </w:r>
    </w:p>
    <w:p w14:paraId="6FFF8BA9" w14:textId="69A9CDD3" w:rsidR="00195203" w:rsidRPr="00E85A58" w:rsidRDefault="00195203" w:rsidP="00E85A58">
      <w:pPr>
        <w:pStyle w:val="NormaleWeb"/>
        <w:jc w:val="both"/>
        <w:rPr>
          <w:b/>
          <w:bCs/>
        </w:rPr>
      </w:pPr>
      <w:r w:rsidRPr="00E85A58">
        <w:br/>
      </w:r>
      <w:r w:rsidRPr="00E85A58">
        <w:rPr>
          <w:rStyle w:val="Enfasigrassetto"/>
        </w:rPr>
        <w:t>COMUNE DI CAIVANO (NA)</w:t>
      </w:r>
      <w:r w:rsidR="00E85A58">
        <w:t xml:space="preserve"> </w:t>
      </w:r>
      <w:r w:rsidRPr="00E85A58">
        <w:t>C.F. 01144820634 – P.IVA 01252221211</w:t>
      </w:r>
      <w:r w:rsidR="00E85A58">
        <w:t xml:space="preserve"> </w:t>
      </w:r>
      <w:r w:rsidRPr="00E85A58">
        <w:t>con sede in Caivano (NA), via Marzano, 19 – località Pascarola</w:t>
      </w:r>
      <w:r w:rsidR="00E85A58">
        <w:t xml:space="preserve"> </w:t>
      </w:r>
      <w:r w:rsidRPr="00E85A58">
        <w:t xml:space="preserve">PEC: </w:t>
      </w:r>
      <w:hyperlink r:id="rId7" w:history="1">
        <w:r w:rsidR="00E85A58" w:rsidRPr="008F4ACB">
          <w:rPr>
            <w:rStyle w:val="Collegamentoipertestuale"/>
          </w:rPr>
          <w:t>protocollo.caivano@asmepec.it</w:t>
        </w:r>
      </w:hyperlink>
      <w:r w:rsidR="00E85A58">
        <w:t xml:space="preserve"> </w:t>
      </w:r>
      <w:r w:rsidRPr="00E85A58">
        <w:t>in persona del Responsabile del IV Settore – Lavori Pubblici, Manutenzione, Patrimonio ed Espropri, Cimitero</w:t>
      </w:r>
      <w:r w:rsidR="00E85A58">
        <w:t xml:space="preserve"> </w:t>
      </w:r>
      <w:r w:rsidRPr="00E85A58">
        <w:rPr>
          <w:rStyle w:val="Enfasigrassetto"/>
        </w:rPr>
        <w:t>Ing. Giovanni Tuberosa</w:t>
      </w:r>
      <w:r w:rsidR="00431D36">
        <w:t xml:space="preserve"> </w:t>
      </w:r>
      <w:bookmarkStart w:id="0" w:name="_GoBack"/>
      <w:bookmarkEnd w:id="0"/>
      <w:r w:rsidRPr="00E85A58">
        <w:t>(di seguito, per brevità, “Comune”)</w:t>
      </w:r>
    </w:p>
    <w:p w14:paraId="399DBBD2" w14:textId="0D8D91DA" w:rsidR="00195203" w:rsidRPr="00E85A58" w:rsidRDefault="00E85A58" w:rsidP="00E85A58">
      <w:pPr>
        <w:pStyle w:val="NormaleWeb"/>
        <w:jc w:val="center"/>
      </w:pPr>
      <w:r>
        <w:rPr>
          <w:rStyle w:val="Enfasigrassetto"/>
        </w:rPr>
        <w:t>E</w:t>
      </w:r>
    </w:p>
    <w:p w14:paraId="733B30A4" w14:textId="1976BCDD" w:rsidR="00195203" w:rsidRPr="00E85A58" w:rsidRDefault="00195203" w:rsidP="00E85A58">
      <w:pPr>
        <w:pStyle w:val="NormaleWeb"/>
        <w:jc w:val="both"/>
      </w:pPr>
      <w:r w:rsidRPr="00E85A58">
        <w:rPr>
          <w:rStyle w:val="Enfasigrassetto"/>
        </w:rPr>
        <w:t>[DENOMINAZIONE OPERATORE ECONOMICO]</w:t>
      </w:r>
      <w:r w:rsidR="00E85A58">
        <w:t xml:space="preserve"> </w:t>
      </w:r>
      <w:r w:rsidRPr="00E85A58">
        <w:t>con sede in ____________________,</w:t>
      </w:r>
      <w:r w:rsidR="00E85A58">
        <w:t xml:space="preserve"> </w:t>
      </w:r>
      <w:r w:rsidRPr="00E85A58">
        <w:t>C.F./P.IVA ____________________,</w:t>
      </w:r>
      <w:r w:rsidR="00E85A58">
        <w:t xml:space="preserve"> </w:t>
      </w:r>
      <w:r w:rsidRPr="00E85A58">
        <w:t>PEC ____________________,</w:t>
      </w:r>
      <w:r w:rsidR="00E85A58">
        <w:t xml:space="preserve"> </w:t>
      </w:r>
      <w:r w:rsidRPr="00E85A58">
        <w:t>in persona del legale rappresentante pro tempore ____________________</w:t>
      </w:r>
      <w:r w:rsidR="00E85A58">
        <w:t xml:space="preserve"> </w:t>
      </w:r>
      <w:r w:rsidRPr="00E85A58">
        <w:t>(di seguito, per brevità, “Operatore”)</w:t>
      </w:r>
    </w:p>
    <w:p w14:paraId="068C0CFE" w14:textId="77777777" w:rsidR="00195203" w:rsidRPr="00E85A58" w:rsidRDefault="00195203" w:rsidP="00E85A58">
      <w:pPr>
        <w:pStyle w:val="Titolo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5A58">
        <w:rPr>
          <w:rStyle w:val="Enfasigrassetto"/>
          <w:rFonts w:ascii="Times New Roman" w:hAnsi="Times New Roman" w:cs="Times New Roman"/>
          <w:b/>
          <w:bCs/>
          <w:color w:val="auto"/>
          <w:sz w:val="24"/>
          <w:szCs w:val="24"/>
        </w:rPr>
        <w:t>PREMESSO CHE</w:t>
      </w:r>
    </w:p>
    <w:p w14:paraId="45DB1C61" w14:textId="77777777" w:rsidR="00195203" w:rsidRPr="00E85A58" w:rsidRDefault="00195203" w:rsidP="00E85A58">
      <w:pPr>
        <w:pStyle w:val="NormaleWeb"/>
        <w:numPr>
          <w:ilvl w:val="0"/>
          <w:numId w:val="29"/>
        </w:numPr>
        <w:jc w:val="both"/>
      </w:pPr>
      <w:r w:rsidRPr="00E85A58">
        <w:t xml:space="preserve">Il Gestore dei Servizi Energetici – GSE S.p.A. gestisce il meccanismo incentivante denominato </w:t>
      </w:r>
      <w:r w:rsidRPr="00E85A58">
        <w:rPr>
          <w:rStyle w:val="Enfasigrassetto"/>
        </w:rPr>
        <w:t>Conto Termico 3.0</w:t>
      </w:r>
      <w:r w:rsidRPr="00E85A58">
        <w:t>, disciplinato dal D.M. 7 agosto 2025;</w:t>
      </w:r>
    </w:p>
    <w:p w14:paraId="01DC803F" w14:textId="77777777" w:rsidR="00195203" w:rsidRPr="00E85A58" w:rsidRDefault="00195203" w:rsidP="00E85A58">
      <w:pPr>
        <w:pStyle w:val="NormaleWeb"/>
        <w:numPr>
          <w:ilvl w:val="0"/>
          <w:numId w:val="29"/>
        </w:numPr>
        <w:jc w:val="both"/>
      </w:pPr>
      <w:r w:rsidRPr="00E85A58">
        <w:t>L’accesso agli incentivi richiede la predisposizione di documentazione tecnica specialistica e una preventiva verifica di ammissibilità degli interventi;</w:t>
      </w:r>
    </w:p>
    <w:p w14:paraId="03309D8C" w14:textId="77777777" w:rsidR="00195203" w:rsidRPr="00E85A58" w:rsidRDefault="00195203" w:rsidP="00E85A58">
      <w:pPr>
        <w:pStyle w:val="NormaleWeb"/>
        <w:numPr>
          <w:ilvl w:val="0"/>
          <w:numId w:val="29"/>
        </w:numPr>
        <w:jc w:val="both"/>
      </w:pPr>
      <w:r w:rsidRPr="00E85A58">
        <w:t>Il Comune è legittimato a valutare l’opportunità di accedere al Conto Termico 3.0 per interventi di efficientamento energetico del proprio patrimonio immobiliare;</w:t>
      </w:r>
    </w:p>
    <w:p w14:paraId="7B18C13A" w14:textId="77777777" w:rsidR="00195203" w:rsidRPr="00E85A58" w:rsidRDefault="00195203" w:rsidP="00E85A58">
      <w:pPr>
        <w:pStyle w:val="NormaleWeb"/>
        <w:numPr>
          <w:ilvl w:val="0"/>
          <w:numId w:val="29"/>
        </w:numPr>
        <w:jc w:val="both"/>
      </w:pPr>
      <w:r w:rsidRPr="00E85A58">
        <w:t xml:space="preserve">Con Determinazione del Responsabile del IV Settore n. ___ del ___ è stato approvato un </w:t>
      </w:r>
      <w:r w:rsidRPr="00E85A58">
        <w:rPr>
          <w:rStyle w:val="Enfasigrassetto"/>
        </w:rPr>
        <w:t>Avviso pubblico di manifestazione di interesse</w:t>
      </w:r>
      <w:r w:rsidRPr="00E85A58">
        <w:t xml:space="preserve"> finalizzato all’individuazione di operatori economici abilitati alla redazione di diagnosi energetiche (EGE UNI 11339 o ESCO UNI 11352) per attività tecniche preliminari;</w:t>
      </w:r>
    </w:p>
    <w:p w14:paraId="7FB9B5D6" w14:textId="77777777" w:rsidR="00195203" w:rsidRPr="00E85A58" w:rsidRDefault="00195203" w:rsidP="00E85A58">
      <w:pPr>
        <w:pStyle w:val="NormaleWeb"/>
        <w:numPr>
          <w:ilvl w:val="0"/>
          <w:numId w:val="29"/>
        </w:numPr>
        <w:jc w:val="both"/>
      </w:pPr>
      <w:r w:rsidRPr="00E85A58">
        <w:t xml:space="preserve">L’Operatore ha manifestato interesse e ha presentato, unitamente alla domanda di partecipazione, una </w:t>
      </w:r>
      <w:r w:rsidRPr="00E85A58">
        <w:rPr>
          <w:rStyle w:val="Enfasigrassetto"/>
        </w:rPr>
        <w:t>proposta tecnica preliminare</w:t>
      </w:r>
      <w:r w:rsidRPr="00E85A58">
        <w:t xml:space="preserve">, il </w:t>
      </w:r>
      <w:r w:rsidRPr="00E85A58">
        <w:rPr>
          <w:rStyle w:val="Enfasigrassetto"/>
        </w:rPr>
        <w:t>curriculum aziendale</w:t>
      </w:r>
      <w:r w:rsidRPr="00E85A58">
        <w:t xml:space="preserve"> e la presente </w:t>
      </w:r>
      <w:r w:rsidRPr="00E85A58">
        <w:rPr>
          <w:rStyle w:val="Enfasigrassetto"/>
        </w:rPr>
        <w:t>bozza di convenzione</w:t>
      </w:r>
      <w:r w:rsidRPr="00E85A58">
        <w:t>;</w:t>
      </w:r>
    </w:p>
    <w:p w14:paraId="1281E155" w14:textId="77777777" w:rsidR="00195203" w:rsidRPr="00E85A58" w:rsidRDefault="00195203" w:rsidP="00E85A58">
      <w:pPr>
        <w:pStyle w:val="NormaleWeb"/>
        <w:numPr>
          <w:ilvl w:val="0"/>
          <w:numId w:val="29"/>
        </w:numPr>
        <w:jc w:val="both"/>
      </w:pPr>
      <w:r w:rsidRPr="00E85A58">
        <w:t xml:space="preserve">Le parti intendono disciplinare, in via </w:t>
      </w:r>
      <w:r w:rsidRPr="00E85A58">
        <w:rPr>
          <w:rStyle w:val="Enfasigrassetto"/>
        </w:rPr>
        <w:t>preliminare e non vincolante</w:t>
      </w:r>
      <w:r w:rsidRPr="00E85A58">
        <w:t>, le modalità di svolgimento delle attività tecniche propedeutiche all’eventuale accesso agli incentivi del Conto Termico 3.0, nel rispetto dei principi di trasparenza, concorrenza e buon andamento dell’azione amministrativa.</w:t>
      </w:r>
    </w:p>
    <w:p w14:paraId="07E021C3" w14:textId="77777777" w:rsidR="00195203" w:rsidRPr="00E85A58" w:rsidRDefault="00195203" w:rsidP="00E85A58">
      <w:pPr>
        <w:pStyle w:val="Titolo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5A58">
        <w:rPr>
          <w:rStyle w:val="Enfasigrassetto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TUTTO CIÒ PREMESSO, SI CONVIENE E SI STIPULA QUANTO SEGUE</w:t>
      </w:r>
    </w:p>
    <w:p w14:paraId="3C7BFB26" w14:textId="77777777" w:rsidR="00195203" w:rsidRPr="00E85A58" w:rsidRDefault="00195203" w:rsidP="00E85A58">
      <w:pPr>
        <w:pStyle w:val="Titolo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5A58">
        <w:rPr>
          <w:rStyle w:val="Enfasigrassetto"/>
          <w:rFonts w:ascii="Times New Roman" w:hAnsi="Times New Roman" w:cs="Times New Roman"/>
          <w:b/>
          <w:bCs/>
          <w:color w:val="auto"/>
          <w:sz w:val="24"/>
          <w:szCs w:val="24"/>
        </w:rPr>
        <w:t>Art. 1 – Oggetto della Convenzione</w:t>
      </w:r>
    </w:p>
    <w:p w14:paraId="7B5EBB51" w14:textId="77777777" w:rsidR="00195203" w:rsidRPr="00E85A58" w:rsidRDefault="00195203" w:rsidP="00E85A58">
      <w:pPr>
        <w:pStyle w:val="NormaleWeb"/>
        <w:numPr>
          <w:ilvl w:val="0"/>
          <w:numId w:val="30"/>
        </w:numPr>
        <w:jc w:val="both"/>
      </w:pPr>
      <w:r w:rsidRPr="00E85A58">
        <w:t xml:space="preserve">La presente Convenzione ha ad oggetto lo svolgimento, da parte dell’Operatore, di </w:t>
      </w:r>
      <w:r w:rsidRPr="00E85A58">
        <w:rPr>
          <w:rStyle w:val="Enfasigrassetto"/>
        </w:rPr>
        <w:t>attività tecniche preliminari e non vincolanti</w:t>
      </w:r>
      <w:r w:rsidRPr="00E85A58">
        <w:t>, finalizzate esclusivamente a:</w:t>
      </w:r>
    </w:p>
    <w:p w14:paraId="7C44FC72" w14:textId="77777777" w:rsidR="00195203" w:rsidRPr="00E85A58" w:rsidRDefault="00195203" w:rsidP="00E85A58">
      <w:pPr>
        <w:pStyle w:val="NormaleWeb"/>
        <w:numPr>
          <w:ilvl w:val="1"/>
          <w:numId w:val="30"/>
        </w:numPr>
        <w:jc w:val="both"/>
      </w:pPr>
      <w:r w:rsidRPr="00E85A58">
        <w:t xml:space="preserve">valutare la fattibilità tecnica ed economica di interventi di efficientamento energetico sugli </w:t>
      </w:r>
      <w:r w:rsidRPr="00E85A58">
        <w:rPr>
          <w:rStyle w:val="Enfasigrassetto"/>
        </w:rPr>
        <w:t>immobili comunali elencati nell’Avviso</w:t>
      </w:r>
      <w:r w:rsidRPr="00E85A58">
        <w:t>;</w:t>
      </w:r>
    </w:p>
    <w:p w14:paraId="7D95A283" w14:textId="77777777" w:rsidR="00195203" w:rsidRPr="00E85A58" w:rsidRDefault="00195203" w:rsidP="00E85A58">
      <w:pPr>
        <w:pStyle w:val="NormaleWeb"/>
        <w:numPr>
          <w:ilvl w:val="1"/>
          <w:numId w:val="30"/>
        </w:numPr>
        <w:jc w:val="both"/>
      </w:pPr>
      <w:r w:rsidRPr="00E85A58">
        <w:t xml:space="preserve">verificare la potenziale ammissibilità degli interventi al </w:t>
      </w:r>
      <w:r w:rsidRPr="00E85A58">
        <w:rPr>
          <w:rStyle w:val="Enfasigrassetto"/>
        </w:rPr>
        <w:t>Conto Termico 3.0</w:t>
      </w:r>
      <w:r w:rsidRPr="00E85A58">
        <w:t>;</w:t>
      </w:r>
    </w:p>
    <w:p w14:paraId="70887A97" w14:textId="77777777" w:rsidR="00195203" w:rsidRPr="00E85A58" w:rsidRDefault="00195203" w:rsidP="00E85A58">
      <w:pPr>
        <w:pStyle w:val="NormaleWeb"/>
        <w:numPr>
          <w:ilvl w:val="1"/>
          <w:numId w:val="30"/>
        </w:numPr>
        <w:jc w:val="both"/>
      </w:pPr>
      <w:r w:rsidRPr="00E85A58">
        <w:t>supportare il Comune nella predisposizione della documentazione tecnica necessaria all’eventuale presentazione di istanze al GSE.</w:t>
      </w:r>
    </w:p>
    <w:p w14:paraId="3ED3EE90" w14:textId="77777777" w:rsidR="00195203" w:rsidRPr="00E85A58" w:rsidRDefault="00195203" w:rsidP="00E85A58">
      <w:pPr>
        <w:pStyle w:val="NormaleWeb"/>
        <w:numPr>
          <w:ilvl w:val="0"/>
          <w:numId w:val="30"/>
        </w:numPr>
        <w:jc w:val="both"/>
      </w:pPr>
      <w:r w:rsidRPr="00E85A58">
        <w:t>Le attività non costituiscono in alcun modo affidamento di servizi, né generano obblighi di natura contrattuale definitiva in capo al Comune.</w:t>
      </w:r>
    </w:p>
    <w:p w14:paraId="6F638514" w14:textId="77777777" w:rsidR="00195203" w:rsidRPr="00E85A58" w:rsidRDefault="00195203" w:rsidP="00E85A58">
      <w:pPr>
        <w:pStyle w:val="Titolo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5A58">
        <w:rPr>
          <w:rStyle w:val="Enfasigrassetto"/>
          <w:rFonts w:ascii="Times New Roman" w:hAnsi="Times New Roman" w:cs="Times New Roman"/>
          <w:b/>
          <w:bCs/>
          <w:color w:val="auto"/>
          <w:sz w:val="24"/>
          <w:szCs w:val="24"/>
        </w:rPr>
        <w:t>Art. 2 – Attività dell’Operatore</w:t>
      </w:r>
    </w:p>
    <w:p w14:paraId="57F5509E" w14:textId="77777777" w:rsidR="00195203" w:rsidRPr="00E85A58" w:rsidRDefault="00195203" w:rsidP="00E85A58">
      <w:pPr>
        <w:pStyle w:val="NormaleWeb"/>
        <w:jc w:val="both"/>
      </w:pPr>
      <w:r w:rsidRPr="00E85A58">
        <w:t>L’Operatore si impegna, senza vincolo di esclusiva, a svolgere – ove richiesto dal Comune – le seguenti attività preliminari:</w:t>
      </w:r>
    </w:p>
    <w:p w14:paraId="79229D14" w14:textId="77777777" w:rsidR="00195203" w:rsidRPr="00E85A58" w:rsidRDefault="00195203" w:rsidP="00E85A58">
      <w:pPr>
        <w:pStyle w:val="NormaleWeb"/>
        <w:jc w:val="both"/>
      </w:pPr>
      <w:r w:rsidRPr="00E85A58">
        <w:t xml:space="preserve">a) redazione di </w:t>
      </w:r>
      <w:r w:rsidRPr="00E85A58">
        <w:rPr>
          <w:rStyle w:val="Enfasigrassetto"/>
        </w:rPr>
        <w:t>Attestati di Prestazione Energetica (APE)</w:t>
      </w:r>
      <w:r w:rsidRPr="00E85A58">
        <w:t xml:space="preserve"> ante e post operam, ove necessari;</w:t>
      </w:r>
      <w:r w:rsidRPr="00E85A58">
        <w:br/>
        <w:t xml:space="preserve">b) redazione di </w:t>
      </w:r>
      <w:r w:rsidRPr="00E85A58">
        <w:rPr>
          <w:rStyle w:val="Enfasigrassetto"/>
        </w:rPr>
        <w:t>diagnosi energetiche</w:t>
      </w:r>
      <w:r w:rsidRPr="00E85A58">
        <w:t xml:space="preserve"> conformi al D.Lgs. 102/2014 e alle Regole Operative GSE (ove richiesto);</w:t>
      </w:r>
      <w:r w:rsidRPr="00E85A58">
        <w:br/>
        <w:t>c) individuazione e definizione tecnica degli interventi potenzialmente ammissibili;</w:t>
      </w:r>
      <w:r w:rsidRPr="00E85A58">
        <w:br/>
        <w:t xml:space="preserve">d) predisposizione di </w:t>
      </w:r>
      <w:r w:rsidRPr="00E85A58">
        <w:rPr>
          <w:rStyle w:val="Enfasigrassetto"/>
        </w:rPr>
        <w:t>computi metrici estimativi</w:t>
      </w:r>
      <w:r w:rsidRPr="00E85A58">
        <w:t xml:space="preserve"> e quadri economici preliminari;</w:t>
      </w:r>
      <w:r w:rsidRPr="00E85A58">
        <w:br/>
        <w:t>e) elaborazione di elaborati grafici e relazioni descrittive;</w:t>
      </w:r>
      <w:r w:rsidRPr="00E85A58">
        <w:br/>
        <w:t>f) predisposizione e caricamento della documentazione sul Portale GSE (GSI), ove richiesto;</w:t>
      </w:r>
      <w:r w:rsidRPr="00E85A58">
        <w:br/>
        <w:t>g) supporto tecnico nei rapporti con il GSE fino all’esito della fase di ammissibilità.</w:t>
      </w:r>
    </w:p>
    <w:p w14:paraId="1C9C983E" w14:textId="77777777" w:rsidR="00195203" w:rsidRPr="00E85A58" w:rsidRDefault="00195203" w:rsidP="00E85A58">
      <w:pPr>
        <w:pStyle w:val="Titolo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5A58">
        <w:rPr>
          <w:rStyle w:val="Enfasigrassetto"/>
          <w:rFonts w:ascii="Times New Roman" w:hAnsi="Times New Roman" w:cs="Times New Roman"/>
          <w:b/>
          <w:bCs/>
          <w:color w:val="auto"/>
          <w:sz w:val="24"/>
          <w:szCs w:val="24"/>
        </w:rPr>
        <w:t>Art. 3 – Natura delle attività e assenza di impegno di spesa</w:t>
      </w:r>
    </w:p>
    <w:p w14:paraId="3E89479C" w14:textId="77777777" w:rsidR="00195203" w:rsidRPr="00E85A58" w:rsidRDefault="00195203" w:rsidP="00E85A58">
      <w:pPr>
        <w:pStyle w:val="NormaleWeb"/>
        <w:numPr>
          <w:ilvl w:val="0"/>
          <w:numId w:val="31"/>
        </w:numPr>
        <w:jc w:val="both"/>
      </w:pPr>
      <w:r w:rsidRPr="00E85A58">
        <w:t xml:space="preserve">Le attività oggetto della presente Convenzione hanno natura </w:t>
      </w:r>
      <w:r w:rsidRPr="00E85A58">
        <w:rPr>
          <w:rStyle w:val="Enfasigrassetto"/>
        </w:rPr>
        <w:t>preliminare, esplorativa e non vincolante</w:t>
      </w:r>
      <w:r w:rsidRPr="00E85A58">
        <w:t>.</w:t>
      </w:r>
    </w:p>
    <w:p w14:paraId="338CF148" w14:textId="77777777" w:rsidR="00195203" w:rsidRPr="00E85A58" w:rsidRDefault="00195203" w:rsidP="00E85A58">
      <w:pPr>
        <w:pStyle w:val="NormaleWeb"/>
        <w:numPr>
          <w:ilvl w:val="0"/>
          <w:numId w:val="31"/>
        </w:numPr>
        <w:jc w:val="both"/>
      </w:pPr>
      <w:r w:rsidRPr="00E85A58">
        <w:t xml:space="preserve">La sottoscrizione della presente Convenzione </w:t>
      </w:r>
      <w:r w:rsidRPr="00E85A58">
        <w:rPr>
          <w:rStyle w:val="Enfasigrassetto"/>
        </w:rPr>
        <w:t>non comporta alcun impegno di spesa</w:t>
      </w:r>
      <w:r w:rsidRPr="00E85A58">
        <w:t xml:space="preserve"> per il Comune e non costituisce affidamento diretto di servizi o lavori.</w:t>
      </w:r>
    </w:p>
    <w:p w14:paraId="4111272E" w14:textId="77777777" w:rsidR="00195203" w:rsidRPr="00E85A58" w:rsidRDefault="00195203" w:rsidP="00E85A58">
      <w:pPr>
        <w:pStyle w:val="NormaleWeb"/>
        <w:numPr>
          <w:ilvl w:val="0"/>
          <w:numId w:val="31"/>
        </w:numPr>
        <w:jc w:val="both"/>
      </w:pPr>
      <w:r w:rsidRPr="00E85A58">
        <w:t>Il Comune si riserva ogni decisione in merito alla prosecuzione del procedimento, alla scelta degli interventi e all’eventuale successivo affidamento di incarichi o lavori.</w:t>
      </w:r>
    </w:p>
    <w:p w14:paraId="38B9186A" w14:textId="77777777" w:rsidR="00195203" w:rsidRPr="00E85A58" w:rsidRDefault="00195203" w:rsidP="00E85A58">
      <w:pPr>
        <w:pStyle w:val="Titolo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5A58">
        <w:rPr>
          <w:rStyle w:val="Enfasigrassetto"/>
          <w:rFonts w:ascii="Times New Roman" w:hAnsi="Times New Roman" w:cs="Times New Roman"/>
          <w:b/>
          <w:bCs/>
          <w:color w:val="auto"/>
          <w:sz w:val="24"/>
          <w:szCs w:val="24"/>
        </w:rPr>
        <w:t>Art. 4 – Principio “No cure no pay”</w:t>
      </w:r>
    </w:p>
    <w:p w14:paraId="2FEA5E05" w14:textId="77777777" w:rsidR="00195203" w:rsidRPr="00E85A58" w:rsidRDefault="00195203" w:rsidP="00E85A58">
      <w:pPr>
        <w:pStyle w:val="NormaleWeb"/>
        <w:numPr>
          <w:ilvl w:val="0"/>
          <w:numId w:val="32"/>
        </w:numPr>
        <w:jc w:val="both"/>
      </w:pPr>
      <w:r w:rsidRPr="00E85A58">
        <w:t xml:space="preserve">Le attività saranno svolte secondo il principio del </w:t>
      </w:r>
      <w:r w:rsidRPr="00E85A58">
        <w:rPr>
          <w:rStyle w:val="Enfasigrassetto"/>
        </w:rPr>
        <w:t>“no cure no pay”</w:t>
      </w:r>
      <w:r w:rsidRPr="00E85A58">
        <w:t>.</w:t>
      </w:r>
    </w:p>
    <w:p w14:paraId="4D25B28B" w14:textId="77777777" w:rsidR="00195203" w:rsidRPr="00E85A58" w:rsidRDefault="00195203" w:rsidP="00E85A58">
      <w:pPr>
        <w:pStyle w:val="NormaleWeb"/>
        <w:numPr>
          <w:ilvl w:val="0"/>
          <w:numId w:val="32"/>
        </w:numPr>
        <w:jc w:val="both"/>
      </w:pPr>
      <w:r w:rsidRPr="00E85A58">
        <w:t>Nessun compenso sarà dovuto all’Operatore in caso di:</w:t>
      </w:r>
    </w:p>
    <w:p w14:paraId="3A3F5856" w14:textId="77777777" w:rsidR="00195203" w:rsidRPr="00E85A58" w:rsidRDefault="00195203" w:rsidP="00E85A58">
      <w:pPr>
        <w:pStyle w:val="NormaleWeb"/>
        <w:numPr>
          <w:ilvl w:val="1"/>
          <w:numId w:val="32"/>
        </w:numPr>
        <w:jc w:val="both"/>
      </w:pPr>
      <w:r w:rsidRPr="00E85A58">
        <w:t>mancata presentazione dell’istanza al GSE;</w:t>
      </w:r>
    </w:p>
    <w:p w14:paraId="2B2CACEA" w14:textId="77777777" w:rsidR="00195203" w:rsidRPr="00E85A58" w:rsidRDefault="00195203" w:rsidP="00E85A58">
      <w:pPr>
        <w:pStyle w:val="NormaleWeb"/>
        <w:numPr>
          <w:ilvl w:val="1"/>
          <w:numId w:val="32"/>
        </w:numPr>
        <w:jc w:val="both"/>
      </w:pPr>
      <w:r w:rsidRPr="00E85A58">
        <w:lastRenderedPageBreak/>
        <w:t>mancata ammissibilità dell’istanza al Conto Termico 3.0.</w:t>
      </w:r>
    </w:p>
    <w:p w14:paraId="6BF26665" w14:textId="77777777" w:rsidR="00195203" w:rsidRPr="00E85A58" w:rsidRDefault="00195203" w:rsidP="00E85A58">
      <w:pPr>
        <w:pStyle w:val="NormaleWeb"/>
        <w:numPr>
          <w:ilvl w:val="0"/>
          <w:numId w:val="32"/>
        </w:numPr>
        <w:jc w:val="both"/>
      </w:pPr>
      <w:r w:rsidRPr="00E85A58">
        <w:t xml:space="preserve">In caso di </w:t>
      </w:r>
      <w:r w:rsidRPr="00E85A58">
        <w:rPr>
          <w:rStyle w:val="Enfasigrassetto"/>
        </w:rPr>
        <w:t>esito positivo dell’istruttoria GSE</w:t>
      </w:r>
      <w:r w:rsidRPr="00E85A58">
        <w:t xml:space="preserve"> (ammissibilità all’incentivo):</w:t>
      </w:r>
    </w:p>
    <w:p w14:paraId="4D4F2548" w14:textId="77777777" w:rsidR="00195203" w:rsidRPr="00E85A58" w:rsidRDefault="00195203" w:rsidP="00E85A58">
      <w:pPr>
        <w:pStyle w:val="NormaleWeb"/>
        <w:numPr>
          <w:ilvl w:val="1"/>
          <w:numId w:val="32"/>
        </w:numPr>
        <w:jc w:val="both"/>
      </w:pPr>
      <w:r w:rsidRPr="00E85A58">
        <w:t xml:space="preserve">il compenso diverrà </w:t>
      </w:r>
      <w:r w:rsidRPr="00E85A58">
        <w:rPr>
          <w:rStyle w:val="Enfasigrassetto"/>
        </w:rPr>
        <w:t>certo, liquido ed esigibile</w:t>
      </w:r>
      <w:r w:rsidRPr="00E85A58">
        <w:t>;</w:t>
      </w:r>
    </w:p>
    <w:p w14:paraId="705606E8" w14:textId="77777777" w:rsidR="00195203" w:rsidRPr="00E85A58" w:rsidRDefault="00195203" w:rsidP="00E85A58">
      <w:pPr>
        <w:pStyle w:val="NormaleWeb"/>
        <w:numPr>
          <w:ilvl w:val="1"/>
          <w:numId w:val="32"/>
        </w:numPr>
        <w:jc w:val="both"/>
      </w:pPr>
      <w:r w:rsidRPr="00E85A58">
        <w:t xml:space="preserve">il Comune potrà riconoscerlo </w:t>
      </w:r>
      <w:r w:rsidRPr="00E85A58">
        <w:rPr>
          <w:rStyle w:val="Enfasigrassetto"/>
        </w:rPr>
        <w:t>solo previa adozione di specifico atto amministrativo di impegno e liquidazione</w:t>
      </w:r>
      <w:r w:rsidRPr="00E85A58">
        <w:t>, nel rispetto delle norme contabili vigenti;</w:t>
      </w:r>
    </w:p>
    <w:p w14:paraId="2F53E4A0" w14:textId="77777777" w:rsidR="00195203" w:rsidRPr="00E85A58" w:rsidRDefault="00195203" w:rsidP="00E85A58">
      <w:pPr>
        <w:pStyle w:val="NormaleWeb"/>
        <w:numPr>
          <w:ilvl w:val="1"/>
          <w:numId w:val="32"/>
        </w:numPr>
        <w:jc w:val="both"/>
      </w:pPr>
      <w:r w:rsidRPr="00E85A58">
        <w:t>il compenso potrà essere parametrato, a discrezione del Comune, all’importo dell’incentivo ammesso o al valore economico degli interventi, nel rispetto della normativa vigente.</w:t>
      </w:r>
    </w:p>
    <w:p w14:paraId="407688CB" w14:textId="77777777" w:rsidR="00195203" w:rsidRPr="00E85A58" w:rsidRDefault="00195203" w:rsidP="00E85A58">
      <w:pPr>
        <w:pStyle w:val="NormaleWeb"/>
        <w:numPr>
          <w:ilvl w:val="0"/>
          <w:numId w:val="32"/>
        </w:numPr>
        <w:jc w:val="both"/>
      </w:pPr>
      <w:r w:rsidRPr="00E85A58">
        <w:t xml:space="preserve">È espressamente esclusa qualsiasi forma di </w:t>
      </w:r>
      <w:r w:rsidRPr="00E85A58">
        <w:rPr>
          <w:rStyle w:val="Enfasigrassetto"/>
        </w:rPr>
        <w:t>pagamento anticipato</w:t>
      </w:r>
      <w:r w:rsidRPr="00E85A58">
        <w:t xml:space="preserve"> o automatico.</w:t>
      </w:r>
    </w:p>
    <w:p w14:paraId="7EDCB64A" w14:textId="77777777" w:rsidR="00195203" w:rsidRPr="00E85A58" w:rsidRDefault="00195203" w:rsidP="00E85A58">
      <w:pPr>
        <w:pStyle w:val="Titolo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5A58">
        <w:rPr>
          <w:rStyle w:val="Enfasigrassetto"/>
          <w:rFonts w:ascii="Times New Roman" w:hAnsi="Times New Roman" w:cs="Times New Roman"/>
          <w:b/>
          <w:bCs/>
          <w:color w:val="auto"/>
          <w:sz w:val="24"/>
          <w:szCs w:val="24"/>
        </w:rPr>
        <w:t>Art. 5 – Proprietà intellettuale</w:t>
      </w:r>
    </w:p>
    <w:p w14:paraId="744A2712" w14:textId="77777777" w:rsidR="00195203" w:rsidRPr="00E85A58" w:rsidRDefault="00195203" w:rsidP="00E85A58">
      <w:pPr>
        <w:pStyle w:val="NormaleWeb"/>
        <w:numPr>
          <w:ilvl w:val="0"/>
          <w:numId w:val="33"/>
        </w:numPr>
        <w:jc w:val="both"/>
      </w:pPr>
      <w:r w:rsidRPr="00E85A58">
        <w:t>Tutta la documentazione tecnica, progettuale ed estimativa predisposta dall’Operatore costituisce opera dell’ingegno ai sensi degli artt. 2575 e ss. c.c.</w:t>
      </w:r>
    </w:p>
    <w:p w14:paraId="5BC9D6D9" w14:textId="77777777" w:rsidR="00195203" w:rsidRPr="00E85A58" w:rsidRDefault="00195203" w:rsidP="00E85A58">
      <w:pPr>
        <w:pStyle w:val="NormaleWeb"/>
        <w:numPr>
          <w:ilvl w:val="0"/>
          <w:numId w:val="33"/>
        </w:numPr>
        <w:jc w:val="both"/>
      </w:pPr>
      <w:r w:rsidRPr="00E85A58">
        <w:t>Tale documentazione rimane di proprietà dell’Operatore fino a:</w:t>
      </w:r>
    </w:p>
    <w:p w14:paraId="69441FAA" w14:textId="77777777" w:rsidR="00195203" w:rsidRPr="00E85A58" w:rsidRDefault="00195203" w:rsidP="00E85A58">
      <w:pPr>
        <w:pStyle w:val="NormaleWeb"/>
        <w:numPr>
          <w:ilvl w:val="1"/>
          <w:numId w:val="33"/>
        </w:numPr>
        <w:jc w:val="both"/>
      </w:pPr>
      <w:r w:rsidRPr="00E85A58">
        <w:t>formale acquisizione da parte del Comune mediante valido titolo giuridico;</w:t>
      </w:r>
    </w:p>
    <w:p w14:paraId="757FBEFB" w14:textId="77777777" w:rsidR="00195203" w:rsidRPr="00E85A58" w:rsidRDefault="00195203" w:rsidP="00E85A58">
      <w:pPr>
        <w:pStyle w:val="NormaleWeb"/>
        <w:numPr>
          <w:ilvl w:val="1"/>
          <w:numId w:val="33"/>
        </w:numPr>
        <w:jc w:val="both"/>
      </w:pPr>
      <w:r w:rsidRPr="00E85A58">
        <w:t>integrale riconoscimento del corrispettivo eventualmente dovuto.</w:t>
      </w:r>
    </w:p>
    <w:p w14:paraId="40CE978C" w14:textId="77777777" w:rsidR="00195203" w:rsidRPr="00E85A58" w:rsidRDefault="00195203" w:rsidP="00E85A58">
      <w:pPr>
        <w:pStyle w:val="NormaleWeb"/>
        <w:numPr>
          <w:ilvl w:val="0"/>
          <w:numId w:val="33"/>
        </w:numPr>
        <w:jc w:val="both"/>
      </w:pPr>
      <w:r w:rsidRPr="00E85A58">
        <w:t>Il Comune non potrà utilizzare, trasmettere o cedere a terzi la documentazione prodotta in assenza di specifico accordo scritto con l’Operatore.</w:t>
      </w:r>
    </w:p>
    <w:p w14:paraId="0D1D71C1" w14:textId="77777777" w:rsidR="00195203" w:rsidRPr="00E85A58" w:rsidRDefault="00195203" w:rsidP="00E85A58">
      <w:pPr>
        <w:pStyle w:val="Titolo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5A58">
        <w:rPr>
          <w:rStyle w:val="Enfasigrassetto"/>
          <w:rFonts w:ascii="Times New Roman" w:hAnsi="Times New Roman" w:cs="Times New Roman"/>
          <w:b/>
          <w:bCs/>
          <w:color w:val="auto"/>
          <w:sz w:val="24"/>
          <w:szCs w:val="24"/>
        </w:rPr>
        <w:t>Art. 6 – Assenza di esclusiva</w:t>
      </w:r>
    </w:p>
    <w:p w14:paraId="3DA1AE63" w14:textId="77777777" w:rsidR="00195203" w:rsidRPr="00E85A58" w:rsidRDefault="00195203" w:rsidP="00E85A58">
      <w:pPr>
        <w:pStyle w:val="NormaleWeb"/>
        <w:jc w:val="both"/>
      </w:pPr>
      <w:r w:rsidRPr="00E85A58">
        <w:t>La presente Convenzione non attribuisce all’Operatore alcun diritto di esclusiva. Il Comune potrà valutare proposte di altri operatori o avviare ulteriori consultazioni di mercato.</w:t>
      </w:r>
    </w:p>
    <w:p w14:paraId="247377CF" w14:textId="77777777" w:rsidR="00195203" w:rsidRPr="00E85A58" w:rsidRDefault="00195203" w:rsidP="00E85A58">
      <w:pPr>
        <w:pStyle w:val="Titolo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5A58">
        <w:rPr>
          <w:rStyle w:val="Enfasigrassetto"/>
          <w:rFonts w:ascii="Times New Roman" w:hAnsi="Times New Roman" w:cs="Times New Roman"/>
          <w:b/>
          <w:bCs/>
          <w:color w:val="auto"/>
          <w:sz w:val="24"/>
          <w:szCs w:val="24"/>
        </w:rPr>
        <w:t>Art. 7 – Durata</w:t>
      </w:r>
    </w:p>
    <w:p w14:paraId="7CC8177D" w14:textId="77777777" w:rsidR="00195203" w:rsidRPr="00E85A58" w:rsidRDefault="00195203" w:rsidP="00E85A58">
      <w:pPr>
        <w:pStyle w:val="NormaleWeb"/>
        <w:jc w:val="both"/>
      </w:pPr>
      <w:r w:rsidRPr="00E85A58">
        <w:t>La presente Convenzione ha durata limitata alla fase preliminare e resterà valida fino:</w:t>
      </w:r>
    </w:p>
    <w:p w14:paraId="233A07B4" w14:textId="77777777" w:rsidR="00195203" w:rsidRPr="00E85A58" w:rsidRDefault="00195203" w:rsidP="00E85A58">
      <w:pPr>
        <w:pStyle w:val="NormaleWeb"/>
        <w:numPr>
          <w:ilvl w:val="0"/>
          <w:numId w:val="34"/>
        </w:numPr>
        <w:jc w:val="both"/>
      </w:pPr>
      <w:r w:rsidRPr="00E85A58">
        <w:t>alla conclusione della fase di valutazione preliminare; oppure</w:t>
      </w:r>
    </w:p>
    <w:p w14:paraId="04465072" w14:textId="77777777" w:rsidR="00195203" w:rsidRPr="00E85A58" w:rsidRDefault="00195203" w:rsidP="00E85A58">
      <w:pPr>
        <w:pStyle w:val="NormaleWeb"/>
        <w:numPr>
          <w:ilvl w:val="0"/>
          <w:numId w:val="34"/>
        </w:numPr>
        <w:jc w:val="both"/>
      </w:pPr>
      <w:r w:rsidRPr="00E85A58">
        <w:t>alla formale decisione del Comune di non procedere oltre.</w:t>
      </w:r>
    </w:p>
    <w:p w14:paraId="570EFC51" w14:textId="77777777" w:rsidR="00195203" w:rsidRPr="00E85A58" w:rsidRDefault="00195203" w:rsidP="00E85A58">
      <w:pPr>
        <w:pStyle w:val="Titolo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5A58">
        <w:rPr>
          <w:rStyle w:val="Enfasigrassetto"/>
          <w:rFonts w:ascii="Times New Roman" w:hAnsi="Times New Roman" w:cs="Times New Roman"/>
          <w:b/>
          <w:bCs/>
          <w:color w:val="auto"/>
          <w:sz w:val="24"/>
          <w:szCs w:val="24"/>
        </w:rPr>
        <w:t>Art. 8 – Rinvio alle norme</w:t>
      </w:r>
    </w:p>
    <w:p w14:paraId="74F28571" w14:textId="77777777" w:rsidR="00195203" w:rsidRPr="00E85A58" w:rsidRDefault="00195203" w:rsidP="00E85A58">
      <w:pPr>
        <w:pStyle w:val="NormaleWeb"/>
        <w:jc w:val="both"/>
      </w:pPr>
      <w:r w:rsidRPr="00E85A58">
        <w:t>Per quanto non espressamente previsto si rinvia:</w:t>
      </w:r>
    </w:p>
    <w:p w14:paraId="16F62DF9" w14:textId="77777777" w:rsidR="00195203" w:rsidRPr="00E85A58" w:rsidRDefault="00195203" w:rsidP="00E85A58">
      <w:pPr>
        <w:pStyle w:val="NormaleWeb"/>
        <w:numPr>
          <w:ilvl w:val="0"/>
          <w:numId w:val="35"/>
        </w:numPr>
        <w:jc w:val="both"/>
      </w:pPr>
      <w:r w:rsidRPr="00E85A58">
        <w:t xml:space="preserve">al </w:t>
      </w:r>
      <w:proofErr w:type="gramStart"/>
      <w:r w:rsidRPr="00E85A58">
        <w:t>D.Lgs</w:t>
      </w:r>
      <w:proofErr w:type="gramEnd"/>
      <w:r w:rsidRPr="00E85A58">
        <w:t>. 36/2023;</w:t>
      </w:r>
    </w:p>
    <w:p w14:paraId="7D4E6EEA" w14:textId="77777777" w:rsidR="00195203" w:rsidRPr="00E85A58" w:rsidRDefault="00195203" w:rsidP="00E85A58">
      <w:pPr>
        <w:pStyle w:val="NormaleWeb"/>
        <w:numPr>
          <w:ilvl w:val="0"/>
          <w:numId w:val="35"/>
        </w:numPr>
        <w:jc w:val="both"/>
      </w:pPr>
      <w:r w:rsidRPr="00E85A58">
        <w:t>alla L. 241/1990;</w:t>
      </w:r>
    </w:p>
    <w:p w14:paraId="4501EF75" w14:textId="77777777" w:rsidR="00195203" w:rsidRPr="00E85A58" w:rsidRDefault="00195203" w:rsidP="00E85A58">
      <w:pPr>
        <w:pStyle w:val="NormaleWeb"/>
        <w:numPr>
          <w:ilvl w:val="0"/>
          <w:numId w:val="35"/>
        </w:numPr>
        <w:jc w:val="both"/>
      </w:pPr>
      <w:r w:rsidRPr="00E85A58">
        <w:t xml:space="preserve">al </w:t>
      </w:r>
      <w:proofErr w:type="gramStart"/>
      <w:r w:rsidRPr="00E85A58">
        <w:t>D.Lgs</w:t>
      </w:r>
      <w:proofErr w:type="gramEnd"/>
      <w:r w:rsidRPr="00E85A58">
        <w:t>. 102/2014;</w:t>
      </w:r>
    </w:p>
    <w:p w14:paraId="764C3D6F" w14:textId="77777777" w:rsidR="00195203" w:rsidRPr="00E85A58" w:rsidRDefault="00195203" w:rsidP="00E85A58">
      <w:pPr>
        <w:pStyle w:val="NormaleWeb"/>
        <w:numPr>
          <w:ilvl w:val="0"/>
          <w:numId w:val="35"/>
        </w:numPr>
        <w:jc w:val="both"/>
      </w:pPr>
      <w:r w:rsidRPr="00E85A58">
        <w:t>al D.M. 7 agosto 2025 (Conto Termico 3.0);</w:t>
      </w:r>
    </w:p>
    <w:p w14:paraId="65DDB4AC" w14:textId="77777777" w:rsidR="00195203" w:rsidRPr="00E85A58" w:rsidRDefault="00195203" w:rsidP="00E85A58">
      <w:pPr>
        <w:pStyle w:val="NormaleWeb"/>
        <w:numPr>
          <w:ilvl w:val="0"/>
          <w:numId w:val="35"/>
        </w:numPr>
        <w:jc w:val="both"/>
      </w:pPr>
      <w:r w:rsidRPr="00E85A58">
        <w:t>al Codice Civile.</w:t>
      </w:r>
    </w:p>
    <w:p w14:paraId="05691350" w14:textId="77777777" w:rsidR="00195203" w:rsidRPr="00E85A58" w:rsidRDefault="007E33E4" w:rsidP="00E85A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 w14:anchorId="22716EAB">
          <v:rect id="_x0000_i1025" style="width:0;height:1.5pt" o:hralign="center" o:hrstd="t" o:hr="t" fillcolor="#a0a0a0" stroked="f"/>
        </w:pict>
      </w:r>
    </w:p>
    <w:p w14:paraId="2B169BF6" w14:textId="77777777" w:rsidR="00195203" w:rsidRPr="00E85A58" w:rsidRDefault="00195203" w:rsidP="00E85A58">
      <w:pPr>
        <w:pStyle w:val="Titolo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5A58">
        <w:rPr>
          <w:rStyle w:val="Enfasigrassetto"/>
          <w:rFonts w:ascii="Times New Roman" w:hAnsi="Times New Roman" w:cs="Times New Roman"/>
          <w:b/>
          <w:bCs/>
          <w:color w:val="auto"/>
          <w:sz w:val="24"/>
          <w:szCs w:val="24"/>
        </w:rPr>
        <w:t>Art. 9 – Foro competente</w:t>
      </w:r>
    </w:p>
    <w:p w14:paraId="1D69F32D" w14:textId="77777777" w:rsidR="00195203" w:rsidRPr="00E85A58" w:rsidRDefault="00195203" w:rsidP="00E85A58">
      <w:pPr>
        <w:pStyle w:val="NormaleWeb"/>
        <w:jc w:val="both"/>
      </w:pPr>
      <w:r w:rsidRPr="00E85A58">
        <w:t xml:space="preserve">Per ogni controversia è competente il </w:t>
      </w:r>
      <w:r w:rsidRPr="00E85A58">
        <w:rPr>
          <w:rStyle w:val="Enfasigrassetto"/>
        </w:rPr>
        <w:t>Foro di Napoli</w:t>
      </w:r>
      <w:r w:rsidRPr="00E85A58">
        <w:t>.</w:t>
      </w:r>
    </w:p>
    <w:p w14:paraId="385DE1FE" w14:textId="77777777" w:rsidR="00E85A58" w:rsidRPr="00E85A58" w:rsidRDefault="00E85A58" w:rsidP="00E85A58">
      <w:pPr>
        <w:pStyle w:val="NormaleWeb"/>
        <w:jc w:val="both"/>
        <w:rPr>
          <w:rStyle w:val="Enfasigrassetto"/>
        </w:rPr>
      </w:pPr>
    </w:p>
    <w:p w14:paraId="75567D41" w14:textId="34DA5E3C" w:rsidR="00195203" w:rsidRPr="00E85A58" w:rsidRDefault="00195203" w:rsidP="00E85A58">
      <w:pPr>
        <w:pStyle w:val="NormaleWeb"/>
      </w:pPr>
      <w:r w:rsidRPr="00E85A58">
        <w:rPr>
          <w:rStyle w:val="Enfasigrassetto"/>
        </w:rPr>
        <w:t>Letto, confermato e sottoscritto</w:t>
      </w:r>
    </w:p>
    <w:p w14:paraId="12102F23" w14:textId="77777777" w:rsidR="00195203" w:rsidRPr="00E85A58" w:rsidRDefault="00195203" w:rsidP="00E85A58">
      <w:pPr>
        <w:pStyle w:val="NormaleWeb"/>
      </w:pPr>
      <w:r w:rsidRPr="00E85A58">
        <w:t>Caivano, lì ____________</w:t>
      </w:r>
    </w:p>
    <w:p w14:paraId="11ED0365" w14:textId="77777777" w:rsidR="00195203" w:rsidRPr="00E85A58" w:rsidRDefault="00195203" w:rsidP="00E85A58">
      <w:pPr>
        <w:pStyle w:val="NormaleWeb"/>
      </w:pPr>
      <w:r w:rsidRPr="00E85A58">
        <w:rPr>
          <w:rStyle w:val="Enfasigrassetto"/>
        </w:rPr>
        <w:t>Per il Comune di Caivano</w:t>
      </w:r>
      <w:r w:rsidRPr="00E85A58">
        <w:br/>
        <w:t>Il Responsabile del IV Settore</w:t>
      </w:r>
      <w:r w:rsidRPr="00E85A58">
        <w:br/>
        <w:t>Ing. Giovanni Tuberosa</w:t>
      </w:r>
    </w:p>
    <w:p w14:paraId="63B7DFF8" w14:textId="77777777" w:rsidR="00195203" w:rsidRPr="00E85A58" w:rsidRDefault="00195203" w:rsidP="00E85A58">
      <w:pPr>
        <w:pStyle w:val="NormaleWeb"/>
      </w:pPr>
      <w:r w:rsidRPr="00E85A58">
        <w:rPr>
          <w:rStyle w:val="Enfasigrassetto"/>
        </w:rPr>
        <w:t>Per l’Operatore Economico</w:t>
      </w:r>
      <w:r w:rsidRPr="00E85A58">
        <w:br/>
        <w:t>Il Legale Rappresentante</w:t>
      </w:r>
    </w:p>
    <w:p w14:paraId="78234435" w14:textId="2AAAB503" w:rsidR="00B74118" w:rsidRPr="00E85A58" w:rsidRDefault="0037551E" w:rsidP="00E85A58">
      <w:pPr>
        <w:pStyle w:val="NormaleWeb"/>
      </w:pPr>
      <w:r w:rsidRPr="00E85A58">
        <w:t>I grandi cambiamenti richiedono tempo, ma i risultati non tarderanno a manifestarsi.</w:t>
      </w:r>
    </w:p>
    <w:sectPr w:rsidR="00B74118" w:rsidRPr="00E85A58" w:rsidSect="00AB2EA2">
      <w:headerReference w:type="default" r:id="rId8"/>
      <w:footerReference w:type="default" r:id="rId9"/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5A5CE" w14:textId="77777777" w:rsidR="007E33E4" w:rsidRDefault="007E33E4" w:rsidP="00FE5BD2">
      <w:pPr>
        <w:spacing w:after="0" w:line="240" w:lineRule="auto"/>
      </w:pPr>
      <w:r>
        <w:separator/>
      </w:r>
    </w:p>
  </w:endnote>
  <w:endnote w:type="continuationSeparator" w:id="0">
    <w:p w14:paraId="5B0E406E" w14:textId="77777777" w:rsidR="007E33E4" w:rsidRDefault="007E33E4" w:rsidP="00FE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5D18A" w14:textId="1118CDCE" w:rsidR="00FE5BD2" w:rsidRDefault="00FE5BD2">
    <w:pPr>
      <w:pStyle w:val="Pidipagina"/>
      <w:jc w:val="right"/>
    </w:pPr>
  </w:p>
  <w:p w14:paraId="52E48501" w14:textId="77777777" w:rsidR="00FE5BD2" w:rsidRDefault="00FE5B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D7AF2" w14:textId="77777777" w:rsidR="007E33E4" w:rsidRDefault="007E33E4" w:rsidP="00FE5BD2">
      <w:pPr>
        <w:spacing w:after="0" w:line="240" w:lineRule="auto"/>
      </w:pPr>
      <w:r>
        <w:separator/>
      </w:r>
    </w:p>
  </w:footnote>
  <w:footnote w:type="continuationSeparator" w:id="0">
    <w:p w14:paraId="4639928B" w14:textId="77777777" w:rsidR="007E33E4" w:rsidRDefault="007E33E4" w:rsidP="00FE5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2FCBC" w14:textId="166941B0" w:rsidR="0000699E" w:rsidRPr="00FE5BD2" w:rsidRDefault="00FE5BD2" w:rsidP="0000699E">
    <w:pPr>
      <w:pStyle w:val="Intestazione"/>
      <w:jc w:val="center"/>
      <w:rPr>
        <w:rFonts w:ascii="Times New Roman" w:hAnsi="Times New Roman" w:cs="Times New Roman"/>
        <w:spacing w:val="48"/>
        <w:sz w:val="48"/>
        <w:szCs w:val="48"/>
      </w:rPr>
    </w:pPr>
    <w:r w:rsidRPr="00FB3504">
      <w:rPr>
        <w:rFonts w:ascii="Times New Roman" w:hAnsi="Times New Roman" w:cs="Times New Roman"/>
        <w:noProof/>
        <w:spacing w:val="62"/>
        <w:sz w:val="48"/>
        <w:szCs w:val="48"/>
        <w:lang w:eastAsia="it-IT"/>
      </w:rPr>
      <w:drawing>
        <wp:anchor distT="0" distB="0" distL="63500" distR="63500" simplePos="0" relativeHeight="251659264" behindDoc="1" locked="0" layoutInCell="1" allowOverlap="1" wp14:anchorId="3E75EA88" wp14:editId="4CB332AE">
          <wp:simplePos x="0" y="0"/>
          <wp:positionH relativeFrom="margin">
            <wp:posOffset>-148590</wp:posOffset>
          </wp:positionH>
          <wp:positionV relativeFrom="margin">
            <wp:posOffset>-1593850</wp:posOffset>
          </wp:positionV>
          <wp:extent cx="815340" cy="1171575"/>
          <wp:effectExtent l="19050" t="0" r="3810" b="0"/>
          <wp:wrapTight wrapText="bothSides">
            <wp:wrapPolygon edited="0">
              <wp:start x="-505" y="0"/>
              <wp:lineTo x="-505" y="21424"/>
              <wp:lineTo x="21701" y="21424"/>
              <wp:lineTo x="21701" y="0"/>
              <wp:lineTo x="-505" y="0"/>
            </wp:wrapPolygon>
          </wp:wrapTight>
          <wp:docPr id="2" name="Immagine 2" descr="C:\Users\ludeno\Desktop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udeno\Desktop\media\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B3504">
      <w:rPr>
        <w:rFonts w:ascii="Times New Roman" w:hAnsi="Times New Roman" w:cs="Times New Roman"/>
        <w:spacing w:val="62"/>
        <w:sz w:val="48"/>
        <w:szCs w:val="48"/>
      </w:rPr>
      <w:t>C</w:t>
    </w:r>
    <w:r w:rsidR="0000699E" w:rsidRPr="00FB3504">
      <w:rPr>
        <w:rFonts w:ascii="Times New Roman" w:hAnsi="Times New Roman" w:cs="Times New Roman"/>
        <w:spacing w:val="62"/>
        <w:sz w:val="48"/>
        <w:szCs w:val="48"/>
      </w:rPr>
      <w:t>OMUNE</w:t>
    </w:r>
    <w:r w:rsidR="0000699E" w:rsidRPr="00FE5BD2">
      <w:rPr>
        <w:rFonts w:ascii="Times New Roman" w:hAnsi="Times New Roman" w:cs="Times New Roman"/>
        <w:spacing w:val="48"/>
        <w:sz w:val="48"/>
        <w:szCs w:val="48"/>
      </w:rPr>
      <w:t xml:space="preserve"> DI CAIVANO</w:t>
    </w:r>
  </w:p>
  <w:p w14:paraId="3F369189" w14:textId="77777777" w:rsidR="0000699E" w:rsidRPr="00FE5BD2" w:rsidRDefault="0000699E" w:rsidP="0000699E">
    <w:pPr>
      <w:pStyle w:val="Intestazione"/>
      <w:tabs>
        <w:tab w:val="left" w:pos="945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 xml:space="preserve">             </w:t>
    </w:r>
    <w:r w:rsidRPr="00FE5BD2">
      <w:rPr>
        <w:rFonts w:ascii="Times New Roman" w:hAnsi="Times New Roman" w:cs="Times New Roman"/>
      </w:rPr>
      <w:t>Città Metropolitana di Napoli</w:t>
    </w:r>
  </w:p>
  <w:p w14:paraId="2B7A1B6C" w14:textId="1EBEAA1A" w:rsidR="0000699E" w:rsidRPr="00DC5F75" w:rsidRDefault="003C18F5" w:rsidP="0000699E">
    <w:pPr>
      <w:pStyle w:val="Intestazione"/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IV </w:t>
    </w:r>
    <w:r w:rsidR="0000699E" w:rsidRPr="00BB08D1">
      <w:rPr>
        <w:rFonts w:ascii="Times New Roman" w:hAnsi="Times New Roman" w:cs="Times New Roman"/>
        <w:sz w:val="36"/>
        <w:szCs w:val="36"/>
      </w:rPr>
      <w:t>Settore</w:t>
    </w:r>
    <w:r w:rsidR="0000699E">
      <w:rPr>
        <w:rFonts w:ascii="Times New Roman" w:hAnsi="Times New Roman" w:cs="Times New Roman"/>
        <w:sz w:val="36"/>
        <w:szCs w:val="36"/>
      </w:rPr>
      <w:t xml:space="preserve"> </w:t>
    </w:r>
    <w:r w:rsidR="0000699E">
      <w:rPr>
        <w:rFonts w:ascii="Times New Roman" w:hAnsi="Times New Roman" w:cs="Times New Roman"/>
        <w:sz w:val="24"/>
        <w:szCs w:val="24"/>
      </w:rPr>
      <w:t xml:space="preserve">– </w:t>
    </w:r>
    <w:r w:rsidR="0000699E">
      <w:rPr>
        <w:rFonts w:ascii="Times New Roman" w:hAnsi="Times New Roman" w:cs="Times New Roman"/>
        <w:sz w:val="36"/>
        <w:szCs w:val="36"/>
      </w:rPr>
      <w:t>Lavori Pubblici, Manutenzione ed Espropri</w:t>
    </w:r>
    <w:r w:rsidR="007A77F2">
      <w:rPr>
        <w:rFonts w:ascii="Times New Roman" w:hAnsi="Times New Roman" w:cs="Times New Roman"/>
        <w:sz w:val="36"/>
        <w:szCs w:val="36"/>
      </w:rPr>
      <w:t>, Patrimonio, Cimitero</w:t>
    </w:r>
  </w:p>
  <w:p w14:paraId="067AD23C" w14:textId="77777777" w:rsidR="0000699E" w:rsidRDefault="0000699E" w:rsidP="0000699E">
    <w:pPr>
      <w:pStyle w:val="Intestazione"/>
      <w:jc w:val="center"/>
      <w:rPr>
        <w:rFonts w:ascii="Times New Roman" w:hAnsi="Times New Roman" w:cs="Times New Roman"/>
        <w:sz w:val="16"/>
        <w:szCs w:val="16"/>
      </w:rPr>
    </w:pPr>
    <w:r w:rsidRPr="00DC5F75">
      <w:rPr>
        <w:rFonts w:ascii="Times New Roman" w:hAnsi="Times New Roman" w:cs="Times New Roman"/>
        <w:sz w:val="16"/>
        <w:szCs w:val="16"/>
      </w:rPr>
      <w:t>via Marzano, 19 località Pascarola – 80023 Caivano (NA)</w:t>
    </w:r>
  </w:p>
  <w:p w14:paraId="30DFECAA" w14:textId="06B63058" w:rsidR="0000699E" w:rsidRDefault="0000699E" w:rsidP="0000699E">
    <w:pPr>
      <w:pStyle w:val="Intestazione"/>
      <w:jc w:val="center"/>
      <w:rPr>
        <w:rFonts w:ascii="Times New Roman" w:hAnsi="Times New Roman" w:cs="Times New Roman"/>
        <w:sz w:val="16"/>
        <w:szCs w:val="16"/>
      </w:rPr>
    </w:pPr>
    <w:r w:rsidRPr="00DC5F75">
      <w:rPr>
        <w:rFonts w:ascii="Times New Roman" w:hAnsi="Times New Roman" w:cs="Times New Roman"/>
        <w:sz w:val="16"/>
        <w:szCs w:val="16"/>
      </w:rPr>
      <w:t>C.F. 01144820634 – P.I</w:t>
    </w:r>
    <w:r>
      <w:rPr>
        <w:rFonts w:ascii="Times New Roman" w:hAnsi="Times New Roman" w:cs="Times New Roman"/>
        <w:sz w:val="16"/>
        <w:szCs w:val="16"/>
      </w:rPr>
      <w:t>VA</w:t>
    </w:r>
    <w:r w:rsidRPr="00DC5F75">
      <w:rPr>
        <w:rFonts w:ascii="Times New Roman" w:hAnsi="Times New Roman" w:cs="Times New Roman"/>
        <w:sz w:val="16"/>
        <w:szCs w:val="16"/>
      </w:rPr>
      <w:t xml:space="preserve"> 01252221211 – Codice univoco </w:t>
    </w:r>
    <w:r w:rsidRPr="0000699E">
      <w:rPr>
        <w:rFonts w:ascii="Times New Roman" w:hAnsi="Times New Roman" w:cs="Times New Roman"/>
        <w:sz w:val="16"/>
        <w:szCs w:val="16"/>
      </w:rPr>
      <w:t>R7GJDB</w:t>
    </w:r>
  </w:p>
  <w:p w14:paraId="1986F753" w14:textId="77777777" w:rsidR="0000699E" w:rsidRPr="00DC5F75" w:rsidRDefault="007E33E4" w:rsidP="0000699E">
    <w:pPr>
      <w:pStyle w:val="Intestazione"/>
      <w:jc w:val="center"/>
      <w:rPr>
        <w:rFonts w:ascii="Times New Roman" w:hAnsi="Times New Roman" w:cs="Times New Roman"/>
        <w:sz w:val="20"/>
        <w:szCs w:val="20"/>
      </w:rPr>
    </w:pPr>
    <w:hyperlink r:id="rId2" w:history="1">
      <w:r w:rsidR="0000699E" w:rsidRPr="00DC5F75">
        <w:rPr>
          <w:rStyle w:val="Collegamentoipertestuale"/>
          <w:rFonts w:ascii="Times New Roman" w:hAnsi="Times New Roman" w:cs="Times New Roman"/>
          <w:sz w:val="20"/>
          <w:szCs w:val="20"/>
        </w:rPr>
        <w:t>protocollo.caivano@asmepec.it</w:t>
      </w:r>
    </w:hyperlink>
  </w:p>
  <w:p w14:paraId="36192B92" w14:textId="69CADC27" w:rsidR="00FE5BD2" w:rsidRPr="00FE5BD2" w:rsidRDefault="00FE5BD2" w:rsidP="0000699E">
    <w:pPr>
      <w:pStyle w:val="Intestazione"/>
      <w:jc w:val="center"/>
      <w:rPr>
        <w:rFonts w:ascii="Times New Roman" w:hAnsi="Times New Roman" w:cs="Times New Roman"/>
      </w:rPr>
    </w:pPr>
  </w:p>
  <w:p w14:paraId="7EA941D3" w14:textId="77777777" w:rsidR="00FE5BD2" w:rsidRDefault="00FE5BD2">
    <w:pPr>
      <w:pStyle w:val="Intestazione"/>
    </w:pPr>
    <w:r>
      <w:t>=======================================================================================</w:t>
    </w:r>
  </w:p>
  <w:p w14:paraId="3E4F27ED" w14:textId="77777777" w:rsidR="00FE5BD2" w:rsidRDefault="00FE5B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D627CB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24EDD"/>
    <w:multiLevelType w:val="multilevel"/>
    <w:tmpl w:val="5F78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93B95"/>
    <w:multiLevelType w:val="multilevel"/>
    <w:tmpl w:val="22FA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965AD"/>
    <w:multiLevelType w:val="multilevel"/>
    <w:tmpl w:val="E7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8B7825"/>
    <w:multiLevelType w:val="multilevel"/>
    <w:tmpl w:val="C878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F51F7"/>
    <w:multiLevelType w:val="multilevel"/>
    <w:tmpl w:val="8230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4128A6"/>
    <w:multiLevelType w:val="multilevel"/>
    <w:tmpl w:val="271C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307DA"/>
    <w:multiLevelType w:val="multilevel"/>
    <w:tmpl w:val="CA86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6761EA"/>
    <w:multiLevelType w:val="multilevel"/>
    <w:tmpl w:val="4E708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E7A0E"/>
    <w:multiLevelType w:val="multilevel"/>
    <w:tmpl w:val="8B6AC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A82736"/>
    <w:multiLevelType w:val="multilevel"/>
    <w:tmpl w:val="DDCE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2F6854"/>
    <w:multiLevelType w:val="multilevel"/>
    <w:tmpl w:val="5B1E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2B722F"/>
    <w:multiLevelType w:val="multilevel"/>
    <w:tmpl w:val="6ED8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EE27E7"/>
    <w:multiLevelType w:val="multilevel"/>
    <w:tmpl w:val="0CAA3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903C22"/>
    <w:multiLevelType w:val="multilevel"/>
    <w:tmpl w:val="24A8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39779C"/>
    <w:multiLevelType w:val="multilevel"/>
    <w:tmpl w:val="BC8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B81D28"/>
    <w:multiLevelType w:val="multilevel"/>
    <w:tmpl w:val="9056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E30D54"/>
    <w:multiLevelType w:val="multilevel"/>
    <w:tmpl w:val="1BB8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1E54CA"/>
    <w:multiLevelType w:val="multilevel"/>
    <w:tmpl w:val="18E6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460D67"/>
    <w:multiLevelType w:val="multilevel"/>
    <w:tmpl w:val="B3B8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E265A1"/>
    <w:multiLevelType w:val="multilevel"/>
    <w:tmpl w:val="24F6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7F7FDC"/>
    <w:multiLevelType w:val="hybridMultilevel"/>
    <w:tmpl w:val="C2B88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86003"/>
    <w:multiLevelType w:val="multilevel"/>
    <w:tmpl w:val="5412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000253"/>
    <w:multiLevelType w:val="multilevel"/>
    <w:tmpl w:val="D3E2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F155C3"/>
    <w:multiLevelType w:val="multilevel"/>
    <w:tmpl w:val="B5FAA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6D0E05"/>
    <w:multiLevelType w:val="multilevel"/>
    <w:tmpl w:val="EAC8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112395"/>
    <w:multiLevelType w:val="multilevel"/>
    <w:tmpl w:val="78C8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2F7A8D"/>
    <w:multiLevelType w:val="multilevel"/>
    <w:tmpl w:val="A51E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AC53A4"/>
    <w:multiLevelType w:val="multilevel"/>
    <w:tmpl w:val="E412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8430AF"/>
    <w:multiLevelType w:val="multilevel"/>
    <w:tmpl w:val="CB00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9C696C"/>
    <w:multiLevelType w:val="multilevel"/>
    <w:tmpl w:val="2F3C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363B12"/>
    <w:multiLevelType w:val="multilevel"/>
    <w:tmpl w:val="DA94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794EBB"/>
    <w:multiLevelType w:val="multilevel"/>
    <w:tmpl w:val="4F80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6B20C3"/>
    <w:multiLevelType w:val="multilevel"/>
    <w:tmpl w:val="111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740442"/>
    <w:multiLevelType w:val="multilevel"/>
    <w:tmpl w:val="0260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9"/>
  </w:num>
  <w:num w:numId="3">
    <w:abstractNumId w:val="3"/>
  </w:num>
  <w:num w:numId="4">
    <w:abstractNumId w:val="2"/>
  </w:num>
  <w:num w:numId="5">
    <w:abstractNumId w:val="12"/>
  </w:num>
  <w:num w:numId="6">
    <w:abstractNumId w:val="21"/>
  </w:num>
  <w:num w:numId="7">
    <w:abstractNumId w:val="11"/>
  </w:num>
  <w:num w:numId="8">
    <w:abstractNumId w:val="14"/>
  </w:num>
  <w:num w:numId="9">
    <w:abstractNumId w:val="25"/>
  </w:num>
  <w:num w:numId="10">
    <w:abstractNumId w:val="31"/>
  </w:num>
  <w:num w:numId="11">
    <w:abstractNumId w:val="23"/>
  </w:num>
  <w:num w:numId="12">
    <w:abstractNumId w:val="30"/>
  </w:num>
  <w:num w:numId="13">
    <w:abstractNumId w:val="1"/>
  </w:num>
  <w:num w:numId="14">
    <w:abstractNumId w:val="20"/>
  </w:num>
  <w:num w:numId="15">
    <w:abstractNumId w:val="28"/>
  </w:num>
  <w:num w:numId="16">
    <w:abstractNumId w:val="26"/>
  </w:num>
  <w:num w:numId="17">
    <w:abstractNumId w:val="32"/>
  </w:num>
  <w:num w:numId="18">
    <w:abstractNumId w:val="22"/>
  </w:num>
  <w:num w:numId="19">
    <w:abstractNumId w:val="17"/>
  </w:num>
  <w:num w:numId="20">
    <w:abstractNumId w:val="27"/>
  </w:num>
  <w:num w:numId="21">
    <w:abstractNumId w:val="7"/>
  </w:num>
  <w:num w:numId="22">
    <w:abstractNumId w:val="33"/>
  </w:num>
  <w:num w:numId="23">
    <w:abstractNumId w:val="15"/>
  </w:num>
  <w:num w:numId="24">
    <w:abstractNumId w:val="6"/>
  </w:num>
  <w:num w:numId="25">
    <w:abstractNumId w:val="18"/>
  </w:num>
  <w:num w:numId="26">
    <w:abstractNumId w:val="4"/>
  </w:num>
  <w:num w:numId="27">
    <w:abstractNumId w:val="16"/>
  </w:num>
  <w:num w:numId="28">
    <w:abstractNumId w:val="5"/>
  </w:num>
  <w:num w:numId="29">
    <w:abstractNumId w:val="13"/>
  </w:num>
  <w:num w:numId="30">
    <w:abstractNumId w:val="8"/>
  </w:num>
  <w:num w:numId="31">
    <w:abstractNumId w:val="24"/>
  </w:num>
  <w:num w:numId="32">
    <w:abstractNumId w:val="29"/>
  </w:num>
  <w:num w:numId="33">
    <w:abstractNumId w:val="9"/>
  </w:num>
  <w:num w:numId="34">
    <w:abstractNumId w:val="34"/>
  </w:num>
  <w:num w:numId="35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D2"/>
    <w:rsid w:val="0000352E"/>
    <w:rsid w:val="0000699E"/>
    <w:rsid w:val="00023057"/>
    <w:rsid w:val="0004291C"/>
    <w:rsid w:val="00064049"/>
    <w:rsid w:val="00070F6C"/>
    <w:rsid w:val="000734B2"/>
    <w:rsid w:val="00080EA6"/>
    <w:rsid w:val="00085B6F"/>
    <w:rsid w:val="000914A4"/>
    <w:rsid w:val="000D5CD1"/>
    <w:rsid w:val="000D74CE"/>
    <w:rsid w:val="000F4EDC"/>
    <w:rsid w:val="000F71AE"/>
    <w:rsid w:val="001007FE"/>
    <w:rsid w:val="00102DC1"/>
    <w:rsid w:val="0010520C"/>
    <w:rsid w:val="00113697"/>
    <w:rsid w:val="00122B8C"/>
    <w:rsid w:val="00144B48"/>
    <w:rsid w:val="0015017D"/>
    <w:rsid w:val="00170876"/>
    <w:rsid w:val="00174F33"/>
    <w:rsid w:val="00176D68"/>
    <w:rsid w:val="0018145A"/>
    <w:rsid w:val="00195203"/>
    <w:rsid w:val="001B11E1"/>
    <w:rsid w:val="001D7F1B"/>
    <w:rsid w:val="001E13F8"/>
    <w:rsid w:val="00201A73"/>
    <w:rsid w:val="00217988"/>
    <w:rsid w:val="002236AC"/>
    <w:rsid w:val="00233C2B"/>
    <w:rsid w:val="00242E77"/>
    <w:rsid w:val="002530FB"/>
    <w:rsid w:val="00254925"/>
    <w:rsid w:val="00260BD9"/>
    <w:rsid w:val="002A3BB6"/>
    <w:rsid w:val="002C63F4"/>
    <w:rsid w:val="002D1D7D"/>
    <w:rsid w:val="002E50DF"/>
    <w:rsid w:val="002E5631"/>
    <w:rsid w:val="002F3E4C"/>
    <w:rsid w:val="00304FB7"/>
    <w:rsid w:val="003222EC"/>
    <w:rsid w:val="00342CD7"/>
    <w:rsid w:val="00345423"/>
    <w:rsid w:val="0036662C"/>
    <w:rsid w:val="0037551E"/>
    <w:rsid w:val="003A01EF"/>
    <w:rsid w:val="003A5BDC"/>
    <w:rsid w:val="003B32BB"/>
    <w:rsid w:val="003C09C7"/>
    <w:rsid w:val="003C18F5"/>
    <w:rsid w:val="003E7BE8"/>
    <w:rsid w:val="00404497"/>
    <w:rsid w:val="00404EA3"/>
    <w:rsid w:val="004163D7"/>
    <w:rsid w:val="004201E5"/>
    <w:rsid w:val="00431D36"/>
    <w:rsid w:val="004349E4"/>
    <w:rsid w:val="00437053"/>
    <w:rsid w:val="00476246"/>
    <w:rsid w:val="00482804"/>
    <w:rsid w:val="004846C9"/>
    <w:rsid w:val="004A0A60"/>
    <w:rsid w:val="004A6261"/>
    <w:rsid w:val="004C24BE"/>
    <w:rsid w:val="004C3AA6"/>
    <w:rsid w:val="00500C4D"/>
    <w:rsid w:val="00502B3C"/>
    <w:rsid w:val="005067AB"/>
    <w:rsid w:val="00512FF8"/>
    <w:rsid w:val="005323A1"/>
    <w:rsid w:val="005550C3"/>
    <w:rsid w:val="00564956"/>
    <w:rsid w:val="00572589"/>
    <w:rsid w:val="005810A9"/>
    <w:rsid w:val="00584543"/>
    <w:rsid w:val="005A000C"/>
    <w:rsid w:val="005A1661"/>
    <w:rsid w:val="005A51B7"/>
    <w:rsid w:val="005C2347"/>
    <w:rsid w:val="005C6975"/>
    <w:rsid w:val="005F070A"/>
    <w:rsid w:val="005F7117"/>
    <w:rsid w:val="00617624"/>
    <w:rsid w:val="006235A7"/>
    <w:rsid w:val="00632C06"/>
    <w:rsid w:val="00633657"/>
    <w:rsid w:val="00637CAB"/>
    <w:rsid w:val="006650AF"/>
    <w:rsid w:val="00671A5A"/>
    <w:rsid w:val="006729F8"/>
    <w:rsid w:val="00680196"/>
    <w:rsid w:val="00685515"/>
    <w:rsid w:val="00696B79"/>
    <w:rsid w:val="00697C68"/>
    <w:rsid w:val="006A0E48"/>
    <w:rsid w:val="006C73C5"/>
    <w:rsid w:val="006E122C"/>
    <w:rsid w:val="006F4972"/>
    <w:rsid w:val="00701D75"/>
    <w:rsid w:val="00712262"/>
    <w:rsid w:val="007739AE"/>
    <w:rsid w:val="0078369B"/>
    <w:rsid w:val="00787DCD"/>
    <w:rsid w:val="007A75EF"/>
    <w:rsid w:val="007A77F2"/>
    <w:rsid w:val="007A7944"/>
    <w:rsid w:val="007C58E0"/>
    <w:rsid w:val="007E33E4"/>
    <w:rsid w:val="008423ED"/>
    <w:rsid w:val="00853B1A"/>
    <w:rsid w:val="008555BE"/>
    <w:rsid w:val="00855EFA"/>
    <w:rsid w:val="0087185A"/>
    <w:rsid w:val="00871A2C"/>
    <w:rsid w:val="00874C52"/>
    <w:rsid w:val="00877D23"/>
    <w:rsid w:val="00885307"/>
    <w:rsid w:val="00885EBA"/>
    <w:rsid w:val="008B6E62"/>
    <w:rsid w:val="008C6C0A"/>
    <w:rsid w:val="00900D4B"/>
    <w:rsid w:val="009255B0"/>
    <w:rsid w:val="00937788"/>
    <w:rsid w:val="009517DA"/>
    <w:rsid w:val="009A0F4B"/>
    <w:rsid w:val="009B3FF8"/>
    <w:rsid w:val="009E00C2"/>
    <w:rsid w:val="009E5896"/>
    <w:rsid w:val="009F19F4"/>
    <w:rsid w:val="009F36F5"/>
    <w:rsid w:val="00A07A91"/>
    <w:rsid w:val="00A30031"/>
    <w:rsid w:val="00A336E7"/>
    <w:rsid w:val="00A351AA"/>
    <w:rsid w:val="00A53383"/>
    <w:rsid w:val="00A6340C"/>
    <w:rsid w:val="00A77154"/>
    <w:rsid w:val="00AA2630"/>
    <w:rsid w:val="00AA38BF"/>
    <w:rsid w:val="00AA7479"/>
    <w:rsid w:val="00AB2EA2"/>
    <w:rsid w:val="00AC0304"/>
    <w:rsid w:val="00AF5E2C"/>
    <w:rsid w:val="00B21B7B"/>
    <w:rsid w:val="00B51448"/>
    <w:rsid w:val="00B63AD7"/>
    <w:rsid w:val="00B708E5"/>
    <w:rsid w:val="00B74118"/>
    <w:rsid w:val="00BB08D1"/>
    <w:rsid w:val="00BB1A07"/>
    <w:rsid w:val="00BB4E73"/>
    <w:rsid w:val="00C308CF"/>
    <w:rsid w:val="00C36239"/>
    <w:rsid w:val="00C42E3E"/>
    <w:rsid w:val="00C646CA"/>
    <w:rsid w:val="00C649EB"/>
    <w:rsid w:val="00C821ED"/>
    <w:rsid w:val="00C832FD"/>
    <w:rsid w:val="00C939B2"/>
    <w:rsid w:val="00CB5733"/>
    <w:rsid w:val="00CC3BBF"/>
    <w:rsid w:val="00CF174A"/>
    <w:rsid w:val="00D01795"/>
    <w:rsid w:val="00D03746"/>
    <w:rsid w:val="00D13BCB"/>
    <w:rsid w:val="00D249F4"/>
    <w:rsid w:val="00D41CE5"/>
    <w:rsid w:val="00D57EB1"/>
    <w:rsid w:val="00D6383A"/>
    <w:rsid w:val="00D75349"/>
    <w:rsid w:val="00D774C5"/>
    <w:rsid w:val="00DA6784"/>
    <w:rsid w:val="00DB1900"/>
    <w:rsid w:val="00DD37D2"/>
    <w:rsid w:val="00DF4D08"/>
    <w:rsid w:val="00E20B33"/>
    <w:rsid w:val="00E57227"/>
    <w:rsid w:val="00E62972"/>
    <w:rsid w:val="00E74B92"/>
    <w:rsid w:val="00E85A58"/>
    <w:rsid w:val="00E942A2"/>
    <w:rsid w:val="00EA6345"/>
    <w:rsid w:val="00EB68E2"/>
    <w:rsid w:val="00ED430E"/>
    <w:rsid w:val="00F35EEB"/>
    <w:rsid w:val="00F74468"/>
    <w:rsid w:val="00F93584"/>
    <w:rsid w:val="00F943B0"/>
    <w:rsid w:val="00FB3504"/>
    <w:rsid w:val="00FB5825"/>
    <w:rsid w:val="00FE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FD3C2"/>
  <w15:docId w15:val="{E146BF40-DE27-45CC-A21E-725A8021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23ED"/>
  </w:style>
  <w:style w:type="paragraph" w:styleId="Titolo1">
    <w:name w:val="heading 1"/>
    <w:basedOn w:val="Normale"/>
    <w:next w:val="Normale"/>
    <w:link w:val="Titolo1Carattere"/>
    <w:uiPriority w:val="9"/>
    <w:qFormat/>
    <w:rsid w:val="00A634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634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34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E5B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5BD2"/>
  </w:style>
  <w:style w:type="paragraph" w:styleId="Pidipagina">
    <w:name w:val="footer"/>
    <w:basedOn w:val="Normale"/>
    <w:link w:val="PidipaginaCarattere"/>
    <w:uiPriority w:val="99"/>
    <w:unhideWhenUsed/>
    <w:rsid w:val="00FE5B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5B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5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5B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E5BD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C58E0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67AB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634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634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6340C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Puntoelenco">
    <w:name w:val="List Bullet"/>
    <w:basedOn w:val="Normale"/>
    <w:uiPriority w:val="99"/>
    <w:unhideWhenUsed/>
    <w:rsid w:val="00A6340C"/>
    <w:pPr>
      <w:numPr>
        <w:numId w:val="1"/>
      </w:numPr>
      <w:contextualSpacing/>
    </w:pPr>
    <w:rPr>
      <w:rFonts w:eastAsiaTheme="minorEastAsia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4163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163D7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5017D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925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914A4"/>
    <w:rPr>
      <w:b/>
      <w:bCs/>
    </w:rPr>
  </w:style>
  <w:style w:type="character" w:styleId="Enfasicorsivo">
    <w:name w:val="Emphasis"/>
    <w:basedOn w:val="Carpredefinitoparagrafo"/>
    <w:uiPriority w:val="20"/>
    <w:qFormat/>
    <w:rsid w:val="0036662C"/>
    <w:rPr>
      <w:i/>
      <w:iCs/>
    </w:rPr>
  </w:style>
  <w:style w:type="character" w:customStyle="1" w:styleId="max-w-full">
    <w:name w:val="max-w-full"/>
    <w:basedOn w:val="Carpredefinitoparagrafo"/>
    <w:rsid w:val="0036662C"/>
  </w:style>
  <w:style w:type="paragraph" w:styleId="Nessunaspaziatura">
    <w:name w:val="No Spacing"/>
    <w:uiPriority w:val="1"/>
    <w:qFormat/>
    <w:rsid w:val="0036662C"/>
    <w:pPr>
      <w:spacing w:after="0" w:line="240" w:lineRule="auto"/>
    </w:pPr>
  </w:style>
  <w:style w:type="character" w:customStyle="1" w:styleId="katex-mathml">
    <w:name w:val="katex-mathml"/>
    <w:basedOn w:val="Carpredefinitoparagrafo"/>
    <w:rsid w:val="0036662C"/>
  </w:style>
  <w:style w:type="character" w:customStyle="1" w:styleId="mord">
    <w:name w:val="mord"/>
    <w:basedOn w:val="Carpredefinitoparagrafo"/>
    <w:rsid w:val="0036662C"/>
  </w:style>
  <w:style w:type="character" w:customStyle="1" w:styleId="mrel">
    <w:name w:val="mrel"/>
    <w:basedOn w:val="Carpredefinitoparagrafo"/>
    <w:rsid w:val="0036662C"/>
  </w:style>
  <w:style w:type="character" w:customStyle="1" w:styleId="mpunct">
    <w:name w:val="mpunct"/>
    <w:basedOn w:val="Carpredefinitoparagrafo"/>
    <w:rsid w:val="0036662C"/>
  </w:style>
  <w:style w:type="character" w:customStyle="1" w:styleId="vlist-s">
    <w:name w:val="vlist-s"/>
    <w:basedOn w:val="Carpredefinitoparagrafo"/>
    <w:rsid w:val="0036662C"/>
  </w:style>
  <w:style w:type="paragraph" w:customStyle="1" w:styleId="TableParagraph">
    <w:name w:val="Table Paragraph"/>
    <w:basedOn w:val="Normale"/>
    <w:uiPriority w:val="1"/>
    <w:qFormat/>
    <w:rsid w:val="003666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ms-1">
    <w:name w:val="ms-1"/>
    <w:basedOn w:val="Carpredefinitoparagrafo"/>
    <w:rsid w:val="00B708E5"/>
  </w:style>
  <w:style w:type="paragraph" w:customStyle="1" w:styleId="Default">
    <w:name w:val="Default"/>
    <w:rsid w:val="001814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sselectedend">
    <w:name w:val="isselectedend"/>
    <w:basedOn w:val="Normale"/>
    <w:rsid w:val="00D03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90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.caivano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caivano@asmepec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Pompeo Esposito</dc:creator>
  <cp:lastModifiedBy>Caivano</cp:lastModifiedBy>
  <cp:revision>4</cp:revision>
  <cp:lastPrinted>2026-01-20T18:35:00Z</cp:lastPrinted>
  <dcterms:created xsi:type="dcterms:W3CDTF">2026-02-08T17:18:00Z</dcterms:created>
  <dcterms:modified xsi:type="dcterms:W3CDTF">2026-02-08T17:40:00Z</dcterms:modified>
</cp:coreProperties>
</file>